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566"/>
        <w:gridCol w:w="5260"/>
        <w:gridCol w:w="272"/>
        <w:gridCol w:w="197"/>
        <w:gridCol w:w="416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D350A40" w:rsidR="00093CA9" w:rsidRDefault="000B334A" w:rsidP="00093CA9">
            <w:r>
              <w:t>BLP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33F8088" w:rsidR="00093CA9" w:rsidRDefault="000B334A" w:rsidP="00093CA9">
            <w:r>
              <w:t>Costa Rica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D4A2241" w:rsidR="00093CA9" w:rsidRDefault="00947F63" w:rsidP="00093CA9">
            <w:r w:rsidRPr="00947F63">
              <w:t>Costa Rican Offset Mechanism (MCCR) under Executive Decree No. 37926-MINAE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28D11274" w:rsidR="00093CA9" w:rsidRDefault="0097122A" w:rsidP="00093CA9">
            <w:hyperlink r:id="rId17" w:history="1">
              <w:r w:rsidRPr="007B4F82">
                <w:rPr>
                  <w:rStyle w:val="Hipervnculo"/>
                </w:rPr>
                <w:t>https://web.archive.org/web/20250708225143/https://www.pgrweb.go.cr/scij/Busqueda/Normativa/Normas/nrm_texto_completo.aspx?param1=NRTC&amp;nValor1=1&amp;nValor2=75986&amp;nValor3=94708&amp;strTipM=TC%2A</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010FF9E" w:rsidR="00093CA9" w:rsidRDefault="00947F63"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72B085F"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2C8A493A" w14:textId="77777777" w:rsidR="00444BF2" w:rsidRDefault="00444BF2" w:rsidP="00444BF2">
            <w:pPr>
              <w:jc w:val="both"/>
            </w:pPr>
            <w:r>
              <w:t>The Decree establishes the legal framework for the operation of Costa Rica’s Domestic Carbon Market (MDC). The objective of the instrument is to regulate the issuance, transfer, and cancellation of carbon offset units generated by national mitigation projects that meet approved methodologies and verification standards. The decree creates an institutional structure that is responsible for approving methodologies, registering projects, and overseeing market integrity.</w:t>
            </w:r>
          </w:p>
          <w:p w14:paraId="18257824" w14:textId="6137D2A3" w:rsidR="00093CA9" w:rsidRDefault="00444BF2" w:rsidP="00444BF2">
            <w:pPr>
              <w:jc w:val="both"/>
            </w:pPr>
            <w:r>
              <w:t>The MDC is designed to support Costa Rica’s climate goals by facilitating voluntary offsetting, promoting verified emission reductions, and contributing to the National Carbon Neutrality Program (PPCN) but the national market of credits carbon is not working in practice as the actual purchase is completely voluntary in Costa Rica and is usually made outside of the country.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0610BC11" w:rsidR="00093CA9" w:rsidRDefault="00444BF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4B0B7C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21E6DEA3" w:rsidR="00AE666D" w:rsidRDefault="00AE666D" w:rsidP="00AE666D">
            <w:pPr>
              <w:jc w:val="both"/>
            </w:pP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B726A3E" w:rsidR="00093CA9" w:rsidRPr="00173D7C" w:rsidRDefault="00444BF2" w:rsidP="00AE666D">
            <w:pPr>
              <w:rPr>
                <w:color w:val="000000" w:themeColor="text1"/>
              </w:rPr>
            </w:pPr>
            <w:r>
              <w:rPr>
                <w:color w:val="000000" w:themeColor="text1"/>
              </w:rPr>
              <w:t>2013</w:t>
            </w:r>
            <w:r w:rsidR="00826A7F">
              <w:rPr>
                <w:color w:val="000000" w:themeColor="text1"/>
              </w:rPr>
              <w:t>.</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019387D" w:rsidR="00093CA9" w:rsidRPr="00173D7C" w:rsidRDefault="00826A7F" w:rsidP="00093CA9">
            <w:pPr>
              <w:rPr>
                <w:color w:val="000000" w:themeColor="text1"/>
              </w:rPr>
            </w:pPr>
            <w:r w:rsidRPr="00826A7F">
              <w:rPr>
                <w:color w:val="000000" w:themeColor="text1"/>
              </w:rPr>
              <w:t xml:space="preserve">2013 – Upon publication in the official </w:t>
            </w:r>
            <w:r w:rsidR="002E70E3">
              <w:rPr>
                <w:color w:val="000000" w:themeColor="text1"/>
              </w:rPr>
              <w:t>G</w:t>
            </w:r>
            <w:r w:rsidRPr="00826A7F">
              <w:rPr>
                <w:color w:val="000000" w:themeColor="text1"/>
              </w:rPr>
              <w:t>azette.</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0D76225A" w:rsidR="00093CA9" w:rsidRPr="00826A7F" w:rsidRDefault="00093CA9" w:rsidP="00826A7F">
            <w:pPr>
              <w:jc w:val="both"/>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08109D48" w:rsidR="0097122A" w:rsidRPr="007419BF" w:rsidRDefault="0097122A"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FAAE3D8" w:rsidR="00093CA9" w:rsidRDefault="00804B6F" w:rsidP="00093CA9">
            <w:r w:rsidRPr="00804B6F">
              <w:t xml:space="preserve">The </w:t>
            </w:r>
            <w:r w:rsidR="00C2030C">
              <w:t xml:space="preserve">Central Government </w:t>
            </w:r>
            <w:r w:rsidR="00826A7F">
              <w:t>(</w:t>
            </w:r>
            <w:r w:rsidR="00826A7F" w:rsidRPr="00826A7F">
              <w:t>Presidency</w:t>
            </w:r>
            <w:r w:rsidR="00826A7F">
              <w:t>)</w:t>
            </w:r>
            <w:r w:rsidR="00826A7F" w:rsidRPr="00826A7F">
              <w:t xml:space="preserve"> </w:t>
            </w:r>
            <w:r w:rsidR="00C2030C">
              <w:t xml:space="preserve">and </w:t>
            </w:r>
            <w:r w:rsidRPr="00804B6F">
              <w:t>the Ministry of Environment and Energy (MINAE).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C2030C"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57B3E65" w:rsidR="00093CA9" w:rsidRPr="00C2030C" w:rsidRDefault="00C2030C" w:rsidP="00093CA9">
            <w:pPr>
              <w:rPr>
                <w:lang w:val="en-US"/>
              </w:rPr>
            </w:pPr>
            <w:r w:rsidRPr="00C2030C">
              <w:rPr>
                <w:lang w:val="en-US"/>
              </w:rPr>
              <w:t>The Climate Change Directorate (</w:t>
            </w:r>
            <w:proofErr w:type="spellStart"/>
            <w:r w:rsidRPr="00C2030C">
              <w:rPr>
                <w:lang w:val="en-US"/>
              </w:rPr>
              <w:t>Dirección</w:t>
            </w:r>
            <w:proofErr w:type="spellEnd"/>
            <w:r w:rsidRPr="00C2030C">
              <w:rPr>
                <w:lang w:val="en-US"/>
              </w:rPr>
              <w:t xml:space="preserve"> de Cambio </w:t>
            </w:r>
            <w:proofErr w:type="spellStart"/>
            <w:r w:rsidRPr="00C2030C">
              <w:rPr>
                <w:lang w:val="en-US"/>
              </w:rPr>
              <w:t>Climático</w:t>
            </w:r>
            <w:proofErr w:type="spellEnd"/>
            <w:r w:rsidRPr="00C2030C">
              <w:rPr>
                <w:lang w:val="en-US"/>
              </w:rPr>
              <w:t>, DCC), under the Ministry of Environment and Energy (MINAE).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4157E2F" w:rsidR="00093CA9" w:rsidRPr="006B7B0D" w:rsidRDefault="00C2030C"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FA21108"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DB35172"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lastRenderedPageBreak/>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63487534"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2B63AC62"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lastRenderedPageBreak/>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441C0FEC"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5C654338" w:rsidR="00093CA9" w:rsidRDefault="00C2030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C2030C">
            <w:pPr>
              <w:jc w:val="both"/>
            </w:pPr>
          </w:p>
        </w:tc>
        <w:tc>
          <w:tcPr>
            <w:tcW w:w="9169" w:type="dxa"/>
            <w:gridSpan w:val="4"/>
            <w:vAlign w:val="center"/>
          </w:tcPr>
          <w:p w14:paraId="0B89F5CC" w14:textId="1442C979" w:rsidR="00826A7F" w:rsidRPr="00826A7F" w:rsidRDefault="00826A7F" w:rsidP="00826A7F">
            <w:pPr>
              <w:keepNext/>
              <w:jc w:val="both"/>
              <w:rPr>
                <w:color w:val="000000" w:themeColor="text1"/>
              </w:rPr>
            </w:pPr>
            <w:r w:rsidRPr="00826A7F">
              <w:rPr>
                <w:color w:val="000000" w:themeColor="text1"/>
              </w:rPr>
              <w:t>The decree establishes a national carbon registry for the MDC. The registry tracks project registration, issuance, transfer, and cancellation of offset units</w:t>
            </w:r>
            <w:r>
              <w:rPr>
                <w:color w:val="000000" w:themeColor="text1"/>
              </w:rPr>
              <w:t xml:space="preserve"> but </w:t>
            </w:r>
            <w:r w:rsidRPr="00826A7F">
              <w:rPr>
                <w:color w:val="000000" w:themeColor="text1"/>
              </w:rPr>
              <w:t>the national market of credits carbon is completely inoperative as the actual purchase is completely voluntary in Costa Rica and is usually made outside of the country.</w:t>
            </w:r>
          </w:p>
          <w:p w14:paraId="46A74649" w14:textId="77777777" w:rsidR="00826A7F" w:rsidRPr="00826A7F" w:rsidRDefault="00826A7F" w:rsidP="00826A7F">
            <w:pPr>
              <w:keepNext/>
              <w:jc w:val="both"/>
              <w:rPr>
                <w:color w:val="000000" w:themeColor="text1"/>
              </w:rPr>
            </w:pPr>
            <w:r w:rsidRPr="00826A7F">
              <w:rPr>
                <w:color w:val="000000" w:themeColor="text1"/>
              </w:rPr>
              <w:t>Relevant sections:</w:t>
            </w:r>
          </w:p>
          <w:p w14:paraId="6CBD780F" w14:textId="3BB3CC6A" w:rsidR="00826A7F" w:rsidRDefault="00826A7F" w:rsidP="00826A7F">
            <w:pPr>
              <w:pStyle w:val="Prrafodelista"/>
              <w:keepNext/>
              <w:numPr>
                <w:ilvl w:val="0"/>
                <w:numId w:val="51"/>
              </w:numPr>
              <w:jc w:val="both"/>
              <w:rPr>
                <w:color w:val="000000" w:themeColor="text1"/>
              </w:rPr>
            </w:pPr>
            <w:r w:rsidRPr="00826A7F">
              <w:rPr>
                <w:color w:val="000000" w:themeColor="text1"/>
              </w:rPr>
              <w:t>Articles 17 to 23 (Monitoring, registry, and issuance procedures)</w:t>
            </w:r>
            <w:r>
              <w:rPr>
                <w:color w:val="000000" w:themeColor="text1"/>
              </w:rPr>
              <w:t>.</w:t>
            </w:r>
          </w:p>
          <w:p w14:paraId="2C2128DB" w14:textId="7BB5C6CF" w:rsidR="00093CA9" w:rsidRPr="00826A7F" w:rsidRDefault="00826A7F" w:rsidP="00826A7F">
            <w:pPr>
              <w:pStyle w:val="Prrafodelista"/>
              <w:keepNext/>
              <w:numPr>
                <w:ilvl w:val="0"/>
                <w:numId w:val="51"/>
              </w:numPr>
              <w:jc w:val="both"/>
              <w:rPr>
                <w:color w:val="000000" w:themeColor="text1"/>
              </w:rPr>
            </w:pPr>
            <w:r w:rsidRPr="00826A7F">
              <w:rPr>
                <w:color w:val="000000" w:themeColor="text1"/>
              </w:rPr>
              <w:t>Articles 9 to 13 (Validation and verification entities)</w:t>
            </w:r>
            <w:r>
              <w:rPr>
                <w:color w:val="000000" w:themeColor="text1"/>
              </w:rPr>
              <w:t>.</w:t>
            </w:r>
          </w:p>
        </w:tc>
      </w:tr>
    </w:tbl>
    <w:p w14:paraId="6F36141D" w14:textId="193F21DA" w:rsidR="005F3137" w:rsidRDefault="005F3137"/>
    <w:p w14:paraId="4E5E0234" w14:textId="5F707638" w:rsidR="00A40404" w:rsidRDefault="005E50FD" w:rsidP="00A40404">
      <w:pPr>
        <w:pStyle w:val="Ttulo1"/>
      </w:pPr>
      <w:r>
        <w:br w:type="page"/>
      </w:r>
      <w:bookmarkStart w:id="1" w:name="_Toc198223601"/>
      <w:bookmarkStart w:id="2" w:name="_Hlk202887632"/>
      <w:r w:rsidR="00A40404">
        <w:lastRenderedPageBreak/>
        <w:t>Domain 1: Climate-Related Disclosure</w:t>
      </w:r>
      <w:bookmarkEnd w:id="1"/>
    </w:p>
    <w:p w14:paraId="74977052" w14:textId="07875EE2" w:rsidR="005E50FD" w:rsidRDefault="00A40404" w:rsidP="00A40404">
      <w:pPr>
        <w:pStyle w:val="Ttulo2"/>
      </w:pPr>
      <w:bookmarkStart w:id="3" w:name="_Toc198223602"/>
      <w:r>
        <w:t>Section 1.1: Who is being targeted?</w:t>
      </w:r>
      <w:bookmarkEnd w:id="3"/>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B9A1DA1"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626FA292"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6FBCA942"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33B62A3C"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6E7F10F1"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1BB9E2E4"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54209B0"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117A7C02"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22F40EC1"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7E6B42B"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389A95FC"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1D78BF83"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C57CBB3"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03346E70"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67BC5E6B" w:rsidR="004B2D74" w:rsidRDefault="004B2D74" w:rsidP="00DD3144"/>
        </w:tc>
        <w:tc>
          <w:tcPr>
            <w:tcW w:w="1447" w:type="dxa"/>
            <w:vAlign w:val="center"/>
          </w:tcPr>
          <w:p w14:paraId="6227ED99" w14:textId="0D7D6BDF"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407F10F4" w:rsidR="004B2D74" w:rsidRDefault="004B2D74" w:rsidP="00DD3144"/>
        </w:tc>
        <w:tc>
          <w:tcPr>
            <w:tcW w:w="1447" w:type="dxa"/>
            <w:vAlign w:val="center"/>
          </w:tcPr>
          <w:p w14:paraId="1A169030" w14:textId="1FA011CC"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65BA3FF3" w:rsidR="004B2D74" w:rsidRDefault="004B2D74" w:rsidP="00DD3144"/>
        </w:tc>
        <w:tc>
          <w:tcPr>
            <w:tcW w:w="1447" w:type="dxa"/>
            <w:vAlign w:val="center"/>
          </w:tcPr>
          <w:p w14:paraId="08F9C226" w14:textId="5AD78A09"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353428EA" w:rsidR="004B2D74" w:rsidRDefault="004B2D74" w:rsidP="00DD3144"/>
        </w:tc>
        <w:tc>
          <w:tcPr>
            <w:tcW w:w="1447" w:type="dxa"/>
            <w:vAlign w:val="center"/>
          </w:tcPr>
          <w:p w14:paraId="32192E56" w14:textId="19D76DB0"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7897BA6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FD7B7FE"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41BA87BB"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2BF5DF89"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128D5301"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52B604BC"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2BE0830E"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5F1072FF"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15188259"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684D3E69"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660372E"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6431D546"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66CFB81E"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49D740FF"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61E55844"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6781C8B"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38EBD34B"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4A15B312"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D8396AD"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7C383C37"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146B143A"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AF3AD7D"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21538BFF"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D2E8B95"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1DAD93B8"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1C1D2348"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0F2E53F8" w:rsidR="0039223F" w:rsidRDefault="0039223F" w:rsidP="0077062A">
            <w:pPr>
              <w:jc w:val="both"/>
            </w:pP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403F919B"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37C14E91" w:rsidR="00524D54" w:rsidRPr="003577A4" w:rsidRDefault="00524D54" w:rsidP="00DD3144"/>
        </w:tc>
      </w:tr>
      <w:tr w:rsidR="00524D54" w:rsidRPr="000B33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9EDED9B"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61C1B17C"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0C8845C9"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4A45E152"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05F02D29"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F57FE92"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4CB2C575"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014DF119"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6DCE310E"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1A3CD668"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AFA120C"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6B09CB9A"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56932E06" w:rsidR="00654950" w:rsidRDefault="00654950" w:rsidP="00E64C95">
            <w:pPr>
              <w:spacing w:line="276" w:lineRule="auto"/>
              <w:jc w:val="both"/>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675989F3"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710E0D16"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4318EEB7"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2E8AC7B6" w:rsidR="008063B5" w:rsidRDefault="008063B5" w:rsidP="00DD3144">
            <w:pPr>
              <w:spacing w:line="276" w:lineRule="auto"/>
              <w:rPr>
                <w:color w:val="000000" w:themeColor="text1"/>
              </w:rPr>
            </w:pPr>
          </w:p>
        </w:tc>
      </w:tr>
      <w:bookmarkEnd w:id="2"/>
      <w:bookmarkEnd w:id="4"/>
    </w:tbl>
    <w:p w14:paraId="3E15F58C" w14:textId="77777777" w:rsidR="007B1CB8" w:rsidRDefault="007B1CB8"/>
    <w:p w14:paraId="0CE09BD1" w14:textId="632528A3" w:rsidR="00952AB2" w:rsidRDefault="00952AB2" w:rsidP="00952AB2">
      <w:pPr>
        <w:pStyle w:val="Ttulo2"/>
      </w:pPr>
      <w:bookmarkStart w:id="5" w:name="_Toc198223603"/>
      <w:bookmarkStart w:id="6" w:name="_Hlk202891392"/>
      <w:bookmarkStart w:id="7" w:name="_Hlk202889999"/>
      <w:r>
        <w:lastRenderedPageBreak/>
        <w:t>Section 1.2: What is being disclosed?</w:t>
      </w:r>
      <w:bookmarkEnd w:id="5"/>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1D1C53C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034D3389"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2C7D2A3"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07428C8"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26E89806"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4B7FC9F9"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441CEBBB"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248C3EB3"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334E23BB"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57BD9A71"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164BC32C"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38B34E4"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3E78FABA"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42377AA0"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656829C9"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6817DFCE"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6F1CF3A"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1FDAD544"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93460FB"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59793767"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1A4F496E"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6EC0C0B9"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73AE6926"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0504BF09"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222162DC"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0D1B86FF"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75DA5A4D"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54C727A5"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7748BF87"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CE88F09"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40C422D0" w:rsidR="00B0479E" w:rsidRDefault="00B0479E" w:rsidP="00DD3144">
            <w:pPr>
              <w:spacing w:line="276" w:lineRule="auto"/>
              <w:rPr>
                <w:rFonts w:ascii="Calibri" w:hAnsi="Calibri" w:cs="Calibri"/>
              </w:rPr>
            </w:pPr>
          </w:p>
        </w:tc>
        <w:tc>
          <w:tcPr>
            <w:tcW w:w="1890" w:type="dxa"/>
            <w:vAlign w:val="center"/>
          </w:tcPr>
          <w:p w14:paraId="544C9B5A" w14:textId="5E02F578"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3F785789"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55E84932" w:rsidR="00B0479E" w:rsidRDefault="00B0479E" w:rsidP="00896F6E"/>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141E36B9"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25E1A910"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291A1049"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7EF7AF6"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4D2347"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4F4F5AEB"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325FDA70"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224BD833"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2B1EA61"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bookmarkEnd w:id="6"/>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8" w:name="_Toc198223604"/>
      <w:r>
        <w:rPr>
          <w:rFonts w:ascii="Calibri" w:hAnsi="Calibri" w:cs="Calibri"/>
        </w:rPr>
        <w:t xml:space="preserve">Section 1.3: </w:t>
      </w:r>
      <w:r w:rsidR="00122733" w:rsidRPr="33822AF7">
        <w:rPr>
          <w:rFonts w:ascii="Calibri" w:hAnsi="Calibri" w:cs="Calibri"/>
        </w:rPr>
        <w:t>Standards and Frameworks</w:t>
      </w:r>
      <w:bookmarkEnd w:id="8"/>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E795A84"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092342C"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3E85AFE"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3F7A866"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F044100"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13E5EB6"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60C4516B"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67465E3"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A75A483"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E34F069"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FF7B62D"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D14A182"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B84C4CE"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F7EDEBC"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133D292" w:rsidR="004B1F6B" w:rsidRPr="00DD3144" w:rsidRDefault="004B1F6B" w:rsidP="00D065EC">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9" w:name="_Toc198223605"/>
      <w:r>
        <w:lastRenderedPageBreak/>
        <w:t>Domain 2: Transition Planning</w:t>
      </w:r>
      <w:bookmarkEnd w:id="9"/>
    </w:p>
    <w:p w14:paraId="0CA57B64" w14:textId="2923536F" w:rsidR="00F41EE0" w:rsidRDefault="005E50FD" w:rsidP="00F41EE0">
      <w:pPr>
        <w:pStyle w:val="Ttulo2"/>
      </w:pPr>
      <w:bookmarkStart w:id="10" w:name="_Toc198223606"/>
      <w:r>
        <w:t xml:space="preserve">Section 2.1: </w:t>
      </w:r>
      <w:r w:rsidR="00F41EE0">
        <w:t>Who is being targeted?</w:t>
      </w:r>
      <w:bookmarkEnd w:id="10"/>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0B33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11" w:name="_Toc198223607"/>
      <w:r>
        <w:lastRenderedPageBreak/>
        <w:t xml:space="preserve">Section 2.2: </w:t>
      </w:r>
      <w:r w:rsidR="00F41EE0">
        <w:t>Disclosure of Plans and Targets</w:t>
      </w:r>
      <w:bookmarkEnd w:id="11"/>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12" w:name="_Toc198223608"/>
      <w:r>
        <w:t xml:space="preserve">Section 2.3: </w:t>
      </w:r>
      <w:r w:rsidR="00F41EE0">
        <w:t>Target Setting</w:t>
      </w:r>
      <w:bookmarkEnd w:id="12"/>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3" w:name="_Toc198223609"/>
      <w:r>
        <w:t xml:space="preserve">Section 2.4: </w:t>
      </w:r>
      <w:r w:rsidR="00951BBE">
        <w:t>GHG Emissions Reductions Targets</w:t>
      </w:r>
      <w:bookmarkEnd w:id="13"/>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4" w:name="_Toc198223610"/>
      <w:r>
        <w:t xml:space="preserve">Section 2.5: </w:t>
      </w:r>
      <w:r w:rsidR="00950B68">
        <w:t>Transition Planning</w:t>
      </w:r>
      <w:bookmarkEnd w:id="14"/>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5" w:name="_Toc198223611"/>
      <w:r>
        <w:t xml:space="preserve">Section 2.6: </w:t>
      </w:r>
      <w:r w:rsidR="00950B68">
        <w:t>Standards and Frameworks</w:t>
      </w:r>
      <w:bookmarkEnd w:id="15"/>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6" w:name="_Toc198223612"/>
      <w:r>
        <w:lastRenderedPageBreak/>
        <w:t>Domain 3: Public Procurement</w:t>
      </w:r>
      <w:bookmarkEnd w:id="16"/>
      <w:r>
        <w:t xml:space="preserve"> </w:t>
      </w:r>
    </w:p>
    <w:p w14:paraId="0D8B4B9F" w14:textId="5E2943CF" w:rsidR="00950B68" w:rsidRPr="00950B68" w:rsidRDefault="005E50FD" w:rsidP="00950B68">
      <w:pPr>
        <w:pStyle w:val="Ttulo2"/>
      </w:pPr>
      <w:bookmarkStart w:id="17" w:name="_Toc198223613"/>
      <w:r>
        <w:t xml:space="preserve">Section 3.1: </w:t>
      </w:r>
      <w:r w:rsidR="00950B68">
        <w:t>Who is being targeted?</w:t>
      </w:r>
      <w:bookmarkEnd w:id="17"/>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0B334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8"/>
      <w:bookmarkEnd w:id="19"/>
    </w:tbl>
    <w:p w14:paraId="712268FA" w14:textId="77777777" w:rsidR="00B802FC" w:rsidRDefault="00B802FC"/>
    <w:p w14:paraId="59E94F30" w14:textId="5EC9D13E" w:rsidR="00436F24" w:rsidRDefault="005E50FD" w:rsidP="00436F24">
      <w:pPr>
        <w:pStyle w:val="Ttulo2"/>
      </w:pPr>
      <w:bookmarkStart w:id="20" w:name="_Toc198223614"/>
      <w:r>
        <w:t xml:space="preserve">Section 3.2: </w:t>
      </w:r>
      <w:r w:rsidR="00436F24">
        <w:t>Procurement Cycle</w:t>
      </w:r>
      <w:bookmarkEnd w:id="20"/>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21" w:name="_Toc198223615"/>
      <w:r>
        <w:t xml:space="preserve">Section 3.3: </w:t>
      </w:r>
      <w:r w:rsidR="002E5ACB">
        <w:t>Life</w:t>
      </w:r>
      <w:r w:rsidR="00DF4489">
        <w:t>-cycle or Whole-life Costing</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22" w:name="_Toc198223616"/>
      <w:r>
        <w:t xml:space="preserve">Section 3.4: </w:t>
      </w:r>
      <w:r w:rsidR="00062526">
        <w:t>Tendering or Solicitation Stage</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3" w:name="_Toc198223617"/>
      <w:r>
        <w:lastRenderedPageBreak/>
        <w:t xml:space="preserve">Section 3.5: </w:t>
      </w:r>
      <w:r w:rsidR="00064195">
        <w:t>Exclusion or Debarment Grounds</w:t>
      </w:r>
      <w:bookmarkEnd w:id="23"/>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4" w:name="_Toc198223618"/>
      <w:r>
        <w:t xml:space="preserve">Section 3.6: </w:t>
      </w:r>
      <w:r w:rsidR="00C85DD9">
        <w:t>Qualification or Selection Criteria</w:t>
      </w:r>
      <w:bookmarkEnd w:id="24"/>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5" w:name="_Toc198223619"/>
      <w:r>
        <w:t xml:space="preserve">Section 3.7: </w:t>
      </w:r>
      <w:r w:rsidR="00A42235">
        <w:t>Technical specifications</w:t>
      </w:r>
      <w:bookmarkEnd w:id="25"/>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6" w:name="_Toc198223620"/>
      <w:r>
        <w:t xml:space="preserve">Section 3.8: </w:t>
      </w:r>
      <w:r w:rsidR="001E7C37">
        <w:t>Contract Performance</w:t>
      </w:r>
      <w:bookmarkEnd w:id="26"/>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7" w:name="_Toc198223621"/>
      <w:r>
        <w:t xml:space="preserve">Section 3.9: </w:t>
      </w:r>
      <w:r w:rsidR="00950B68">
        <w:t>Standards and Frameworks</w:t>
      </w:r>
      <w:bookmarkEnd w:id="27"/>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8" w:name="_Toc198223622"/>
      <w:r>
        <w:lastRenderedPageBreak/>
        <w:t>Domain 4: Carbon Credits</w:t>
      </w:r>
      <w:bookmarkEnd w:id="28"/>
    </w:p>
    <w:p w14:paraId="25C35D8C" w14:textId="52BD279F" w:rsidR="001C0769" w:rsidRPr="001C0769" w:rsidRDefault="000428FA" w:rsidP="001C0769">
      <w:pPr>
        <w:pStyle w:val="Ttulo2"/>
      </w:pPr>
      <w:bookmarkStart w:id="29" w:name="_Toc198223623"/>
      <w:r>
        <w:t xml:space="preserve">Section </w:t>
      </w:r>
      <w:r w:rsidR="00B20D58">
        <w:t>4</w:t>
      </w:r>
      <w:r>
        <w:t xml:space="preserve">.1: </w:t>
      </w:r>
      <w:r w:rsidR="001C0769">
        <w:t>Who is being targeted?</w:t>
      </w:r>
      <w:bookmarkEnd w:id="29"/>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06943D6A" w:rsidR="00D4323A" w:rsidRPr="00CF2E7C" w:rsidRDefault="00655342"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0004CBE0" w:rsidR="00D4323A" w:rsidRPr="00CF2E7C" w:rsidRDefault="00655342" w:rsidP="00CF2E7C">
            <w:pPr>
              <w:rPr>
                <w:rFonts w:ascii="Calibri" w:hAnsi="Calibri" w:cs="Calibri"/>
              </w:rPr>
            </w:pPr>
            <w:r>
              <w:rPr>
                <w:rFonts w:ascii="Calibri" w:hAnsi="Calibri" w:cs="Calibri"/>
              </w:rPr>
              <w:t>X</w:t>
            </w: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530E04F9" w:rsidR="00D4323A" w:rsidRPr="00CF2E7C" w:rsidRDefault="00655342" w:rsidP="00CF2E7C">
            <w:pPr>
              <w:rPr>
                <w:rFonts w:ascii="Calibri" w:hAnsi="Calibri" w:cs="Calibri"/>
              </w:rPr>
            </w:pPr>
            <w:r>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5BE1B1ED" w:rsidR="00D4323A" w:rsidRPr="00CF2E7C" w:rsidRDefault="00655342"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C73C742" w:rsidR="00D4323A" w:rsidRPr="00CF2E7C" w:rsidRDefault="00655342"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00B019FA" w:rsidR="00D4323A" w:rsidRPr="00CF2E7C" w:rsidRDefault="00655342"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1C77773D" w:rsidR="00D4323A" w:rsidRPr="00CF2E7C" w:rsidRDefault="00D4323A" w:rsidP="00CF2E7C">
            <w:pPr>
              <w:rPr>
                <w:rFonts w:ascii="Calibri" w:hAnsi="Calibri" w:cs="Calibri"/>
              </w:rPr>
            </w:pPr>
          </w:p>
        </w:tc>
        <w:tc>
          <w:tcPr>
            <w:tcW w:w="1723" w:type="dxa"/>
            <w:vAlign w:val="center"/>
          </w:tcPr>
          <w:p w14:paraId="51B18F60" w14:textId="2E261B41" w:rsidR="00D4323A" w:rsidRPr="00CF2E7C" w:rsidRDefault="00655342"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0709DA36" w:rsidR="00D4323A" w:rsidRPr="00CF2E7C" w:rsidRDefault="00655342" w:rsidP="00CF2E7C">
            <w:pPr>
              <w:rPr>
                <w:rFonts w:ascii="Calibri" w:hAnsi="Calibri" w:cs="Calibri"/>
              </w:rPr>
            </w:pPr>
            <w:r>
              <w:rPr>
                <w:rFonts w:ascii="Calibri" w:hAnsi="Calibri" w:cs="Calibri"/>
              </w:rPr>
              <w:t>X</w:t>
            </w:r>
          </w:p>
        </w:tc>
        <w:tc>
          <w:tcPr>
            <w:tcW w:w="1723" w:type="dxa"/>
            <w:vAlign w:val="center"/>
          </w:tcPr>
          <w:p w14:paraId="2E4A286B" w14:textId="771BF819"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2004F84D" w:rsidR="00D4323A" w:rsidRPr="00CF2E7C" w:rsidRDefault="00D4323A" w:rsidP="00CF2E7C">
            <w:pPr>
              <w:rPr>
                <w:rFonts w:ascii="Calibri" w:hAnsi="Calibri" w:cs="Calibri"/>
              </w:rPr>
            </w:pPr>
          </w:p>
        </w:tc>
        <w:tc>
          <w:tcPr>
            <w:tcW w:w="1723" w:type="dxa"/>
            <w:vAlign w:val="center"/>
          </w:tcPr>
          <w:p w14:paraId="2B8AB3B9" w14:textId="79B65BAA" w:rsidR="00D4323A" w:rsidRPr="00CF2E7C" w:rsidRDefault="00655342"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0D089F8D" w:rsidR="00D4323A" w:rsidRPr="00CF2E7C" w:rsidRDefault="00D4323A" w:rsidP="00CF2E7C">
            <w:pPr>
              <w:rPr>
                <w:rFonts w:ascii="Calibri" w:hAnsi="Calibri" w:cs="Calibri"/>
              </w:rPr>
            </w:pPr>
          </w:p>
        </w:tc>
        <w:tc>
          <w:tcPr>
            <w:tcW w:w="1723" w:type="dxa"/>
            <w:vAlign w:val="center"/>
          </w:tcPr>
          <w:p w14:paraId="6D84FEB1" w14:textId="1EDD941B" w:rsidR="00D4323A" w:rsidRPr="00CF2E7C" w:rsidRDefault="00655342"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358785E8" w:rsidR="00D4323A" w:rsidRPr="00CF2E7C" w:rsidRDefault="00D4323A" w:rsidP="00CF2E7C">
            <w:pPr>
              <w:rPr>
                <w:rFonts w:ascii="Calibri" w:hAnsi="Calibri" w:cs="Calibri"/>
              </w:rPr>
            </w:pPr>
          </w:p>
        </w:tc>
        <w:tc>
          <w:tcPr>
            <w:tcW w:w="1723" w:type="dxa"/>
            <w:vAlign w:val="center"/>
          </w:tcPr>
          <w:p w14:paraId="7DC8E64E" w14:textId="2B28F4AB" w:rsidR="00D4323A" w:rsidRPr="00CF2E7C" w:rsidRDefault="00655342"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A3AD740" w:rsidR="00D4323A" w:rsidRPr="00CF2E7C" w:rsidRDefault="00655342" w:rsidP="00CF2E7C">
            <w:pPr>
              <w:rPr>
                <w:rFonts w:ascii="Calibri" w:hAnsi="Calibri" w:cs="Calibri"/>
              </w:rPr>
            </w:pPr>
            <w:r>
              <w:rPr>
                <w:rFonts w:ascii="Calibri" w:hAnsi="Calibri" w:cs="Calibri"/>
              </w:rPr>
              <w:t>X</w:t>
            </w: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5D3F005D" w:rsidR="00D4323A" w:rsidRPr="00CF2E7C" w:rsidRDefault="00D4323A" w:rsidP="00CF2E7C">
            <w:pPr>
              <w:rPr>
                <w:rFonts w:ascii="Calibri" w:hAnsi="Calibri" w:cs="Calibri"/>
              </w:rPr>
            </w:pPr>
          </w:p>
        </w:tc>
        <w:tc>
          <w:tcPr>
            <w:tcW w:w="1723" w:type="dxa"/>
            <w:vAlign w:val="center"/>
          </w:tcPr>
          <w:p w14:paraId="6EF1B539" w14:textId="54FDCB1F" w:rsidR="00D4323A" w:rsidRPr="00CF2E7C" w:rsidRDefault="00655342"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4623B174" w:rsidR="00092534" w:rsidRPr="00CF2E7C" w:rsidRDefault="00655342" w:rsidP="00CF2E7C">
            <w:pPr>
              <w:rPr>
                <w:rFonts w:ascii="Calibri" w:hAnsi="Calibri" w:cs="Calibri"/>
              </w:rPr>
            </w:pPr>
            <w:r>
              <w:rPr>
                <w:rFonts w:ascii="Calibri" w:hAnsi="Calibri" w:cs="Calibri"/>
              </w:rPr>
              <w:t>X</w:t>
            </w: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625B9BB6" w:rsidR="00092534" w:rsidRPr="00CF2E7C" w:rsidRDefault="00655342" w:rsidP="00CF2E7C">
            <w:pPr>
              <w:rPr>
                <w:rFonts w:ascii="Calibri" w:hAnsi="Calibri" w:cs="Calibri"/>
              </w:rPr>
            </w:pPr>
            <w:r>
              <w:rPr>
                <w:rFonts w:ascii="Calibri" w:hAnsi="Calibri" w:cs="Calibri"/>
              </w:rPr>
              <w:t>X</w:t>
            </w: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6F717685" w:rsidR="00092534" w:rsidRPr="00CF2E7C" w:rsidRDefault="00655342" w:rsidP="00CF2E7C">
            <w:pPr>
              <w:rPr>
                <w:rFonts w:ascii="Calibri" w:hAnsi="Calibri" w:cs="Calibri"/>
              </w:rPr>
            </w:pPr>
            <w:r>
              <w:rPr>
                <w:rFonts w:ascii="Calibri" w:hAnsi="Calibri" w:cs="Calibri"/>
              </w:rPr>
              <w:t>X</w:t>
            </w: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6EDCD19C" w:rsidR="00092534" w:rsidRPr="00CF2E7C" w:rsidRDefault="00655342" w:rsidP="00CF2E7C">
            <w:pPr>
              <w:rPr>
                <w:rFonts w:ascii="Calibri" w:hAnsi="Calibri" w:cs="Calibri"/>
              </w:rPr>
            </w:pPr>
            <w:r>
              <w:rPr>
                <w:rFonts w:ascii="Calibri" w:hAnsi="Calibri" w:cs="Calibri"/>
              </w:rPr>
              <w:t>X</w:t>
            </w: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28625345" w:rsidR="00092534" w:rsidRPr="00CF2E7C" w:rsidRDefault="00655342" w:rsidP="00CF2E7C">
            <w:pPr>
              <w:rPr>
                <w:rFonts w:ascii="Calibri" w:hAnsi="Calibri" w:cs="Calibri"/>
              </w:rPr>
            </w:pPr>
            <w:r>
              <w:rPr>
                <w:rFonts w:ascii="Calibri" w:hAnsi="Calibri" w:cs="Calibri"/>
              </w:rPr>
              <w:t>X</w:t>
            </w: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1C72B9C0" w:rsidR="00092534" w:rsidRPr="00CF2E7C" w:rsidRDefault="00092534" w:rsidP="00CF2E7C">
            <w:pPr>
              <w:rPr>
                <w:rFonts w:ascii="Calibri" w:hAnsi="Calibri" w:cs="Calibri"/>
              </w:rPr>
            </w:pPr>
          </w:p>
        </w:tc>
        <w:tc>
          <w:tcPr>
            <w:tcW w:w="1723" w:type="dxa"/>
            <w:vAlign w:val="center"/>
          </w:tcPr>
          <w:p w14:paraId="17ED3CCF" w14:textId="784CB976" w:rsidR="00092534" w:rsidRPr="00CF2E7C" w:rsidRDefault="00655342"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0B334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0DDB2691" w:rsidR="00092534" w:rsidRPr="00CF2E7C" w:rsidRDefault="00655342" w:rsidP="00CF2E7C">
            <w:pPr>
              <w:rPr>
                <w:rFonts w:ascii="Calibri" w:hAnsi="Calibri" w:cs="Calibri"/>
              </w:rPr>
            </w:pPr>
            <w:r w:rsidRPr="00655342">
              <w:rPr>
                <w:rFonts w:ascii="Calibri" w:hAnsi="Calibri" w:cs="Calibri"/>
              </w:rPr>
              <w:t>Projects must be based in Costa Rica</w:t>
            </w:r>
            <w:r>
              <w:rPr>
                <w:rFonts w:ascii="Calibri" w:hAnsi="Calibri" w:cs="Calibri"/>
              </w:rPr>
              <w:t>.</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1A609F58" w:rsidR="00092534" w:rsidRPr="00CF2E7C" w:rsidRDefault="000C14B3"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684A0B9A"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8296D11" w:rsidR="00DB1E72" w:rsidRPr="00CF2E7C" w:rsidRDefault="000C14B3"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415A8167" w:rsidR="00DB1E72" w:rsidRPr="00CF2E7C" w:rsidRDefault="000C14B3" w:rsidP="00CF2E7C">
            <w:pPr>
              <w:rPr>
                <w:rFonts w:ascii="Calibri" w:hAnsi="Calibri" w:cs="Calibri"/>
              </w:rPr>
            </w:pPr>
            <w:r w:rsidRPr="000C14B3">
              <w:rPr>
                <w:rFonts w:ascii="Calibri" w:hAnsi="Calibri" w:cs="Calibri"/>
              </w:rPr>
              <w:t>The decree does not establish any enforcement mechanism or sanctions for non-compliance, as participation is voluntary.</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4823194B" w:rsidR="00092534" w:rsidRPr="00CF2E7C" w:rsidRDefault="000C14B3"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058E3A07" w:rsidR="00092534" w:rsidRPr="00CF2E7C" w:rsidRDefault="000C14B3"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3C54C19C" w:rsidR="00092534" w:rsidRPr="00CF2E7C" w:rsidRDefault="000C14B3"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30"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0"/>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3EFFA8B9" w:rsidR="00D46B07" w:rsidRPr="00CF2E7C" w:rsidRDefault="000C14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70F8A2C3" w:rsidR="00D46B07" w:rsidRPr="00CF2E7C" w:rsidRDefault="000C14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7BC8334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C14B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4A64D09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C14B3">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18A2EC93"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0C14B3">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3D5A9453" w:rsidR="00D46B07" w:rsidRPr="00CF2E7C" w:rsidRDefault="000C14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31" w:name="_Toc198223625"/>
      <w:r>
        <w:t xml:space="preserve">Section </w:t>
      </w:r>
      <w:r w:rsidR="00B20D58">
        <w:t>4</w:t>
      </w:r>
      <w:r>
        <w:t xml:space="preserve">.3: </w:t>
      </w:r>
      <w:r w:rsidR="001C0769" w:rsidRPr="009C4D10">
        <w:t>Governance of Carbon Credits</w:t>
      </w:r>
      <w:bookmarkEnd w:id="31"/>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2" w:name="_4.3.1_Governance_of"/>
            <w:bookmarkEnd w:id="32"/>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0167632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14B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652DE0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14B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641C81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14B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34AA3B4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14B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01AFEF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C14B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557C29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C14B3">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18A5540E" w:rsidR="00702413" w:rsidRPr="00CF2E7C" w:rsidRDefault="00702413" w:rsidP="000C14B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A0BD4" w:rsidRPr="00EA0BD4">
              <w:rPr>
                <w:rFonts w:ascii="Calibri" w:eastAsia="Times New Roman" w:hAnsi="Calibri" w:cs="Calibri"/>
                <w:kern w:val="0"/>
                <w:lang w:eastAsia="en-GB"/>
                <w14:ligatures w14:val="none"/>
              </w:rPr>
              <w:t>The Decree mandates the establishment and use of a national carbon registry administered by the MINAE but in the practice the MDC is not operating.</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2562322D"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432B9ED2" w:rsidR="00343937" w:rsidRPr="00CF2E7C" w:rsidRDefault="00EA0B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2FF990A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142FC51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07A8DC7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41DDA2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384600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0837B9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22AFB1D2" w:rsidR="00343937" w:rsidRPr="00CF2E7C" w:rsidRDefault="00EA0BD4" w:rsidP="00CF2E7C">
            <w:pPr>
              <w:textAlignment w:val="baseline"/>
              <w:rPr>
                <w:rFonts w:ascii="Calibri" w:eastAsia="Times New Roman" w:hAnsi="Calibri" w:cs="Calibri"/>
                <w:kern w:val="0"/>
                <w:lang w:eastAsia="en-GB"/>
                <w14:ligatures w14:val="none"/>
              </w:rPr>
            </w:pPr>
            <w:r w:rsidRPr="00EA0BD4">
              <w:rPr>
                <w:rFonts w:ascii="Calibri" w:eastAsia="Times New Roman" w:hAnsi="Calibri" w:cs="Calibri"/>
                <w:kern w:val="0"/>
                <w:lang w:eastAsia="en-GB"/>
                <w14:ligatures w14:val="none"/>
              </w:rPr>
              <w:t xml:space="preserve">The Decree establishment </w:t>
            </w:r>
            <w:r>
              <w:rPr>
                <w:rFonts w:ascii="Calibri" w:eastAsia="Times New Roman" w:hAnsi="Calibri" w:cs="Calibri"/>
                <w:kern w:val="0"/>
                <w:lang w:eastAsia="en-GB"/>
                <w14:ligatures w14:val="none"/>
              </w:rPr>
              <w:t>the process for the MDC</w:t>
            </w:r>
            <w:r w:rsidRPr="00EA0BD4">
              <w:rPr>
                <w:rFonts w:ascii="Calibri" w:eastAsia="Times New Roman" w:hAnsi="Calibri" w:cs="Calibri"/>
                <w:kern w:val="0"/>
                <w:lang w:eastAsia="en-GB"/>
                <w14:ligatures w14:val="none"/>
              </w:rPr>
              <w:t xml:space="preserve"> but in the practice is not operating.</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04C43DB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8030F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0BE3DA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3F31596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A0BD4">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51E96FC4" w:rsidR="00343937" w:rsidRPr="00CF2E7C" w:rsidRDefault="00EA0BD4" w:rsidP="00EA0BD4">
            <w:pPr>
              <w:jc w:val="both"/>
              <w:textAlignment w:val="baseline"/>
              <w:rPr>
                <w:rFonts w:ascii="Calibri" w:eastAsia="Times New Roman" w:hAnsi="Calibri" w:cs="Calibri"/>
                <w:kern w:val="0"/>
                <w:lang w:eastAsia="en-GB"/>
                <w14:ligatures w14:val="none"/>
              </w:rPr>
            </w:pPr>
            <w:r w:rsidRPr="00EA0BD4">
              <w:rPr>
                <w:rFonts w:ascii="Calibri" w:eastAsia="Times New Roman" w:hAnsi="Calibri" w:cs="Calibri"/>
                <w:kern w:val="0"/>
                <w:lang w:eastAsia="en-GB"/>
                <w14:ligatures w14:val="none"/>
              </w:rPr>
              <w:t xml:space="preserve">The Decree does not include any provisions regarding the use or allocation of financial revenues generated from the issuance or trading of carbon credits.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3681946D" w:rsidR="000A6F11" w:rsidRPr="00CF2E7C" w:rsidRDefault="00EA0B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3" w:name="_Toc198223626"/>
      <w:r>
        <w:rPr>
          <w:lang w:eastAsia="en-GB"/>
        </w:rPr>
        <w:t xml:space="preserve">Section 4.4: </w:t>
      </w:r>
      <w:r w:rsidR="00F01EE6">
        <w:rPr>
          <w:lang w:eastAsia="en-GB"/>
        </w:rPr>
        <w:t>Policy goal-specific questions</w:t>
      </w:r>
      <w:bookmarkEnd w:id="33"/>
    </w:p>
    <w:p w14:paraId="2A9A2B53" w14:textId="264B0D10" w:rsidR="001C0769" w:rsidRPr="009C4D10" w:rsidRDefault="001C0769" w:rsidP="00B20D58">
      <w:pPr>
        <w:pStyle w:val="Ttulo3"/>
        <w:rPr>
          <w:rFonts w:eastAsia="Times New Roman"/>
          <w:kern w:val="0"/>
          <w:lang w:eastAsia="en-GB"/>
          <w14:ligatures w14:val="none"/>
        </w:rPr>
      </w:pPr>
      <w:bookmarkStart w:id="34" w:name="_Section_1:_Criteria"/>
      <w:bookmarkStart w:id="35" w:name="_Toc198223627"/>
      <w:bookmarkEnd w:id="34"/>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41FB9C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6C9FD8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4B4A1E2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5739C3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6F3C4F2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B58A7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0A8E0E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06DB06B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1B9DB3C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0C06F1E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56DED4D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8B09D8E" w14:textId="14A068F3" w:rsidR="005A4251" w:rsidRPr="005A4251" w:rsidRDefault="00047A9C" w:rsidP="005A425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A4251" w:rsidRPr="005A4251">
              <w:rPr>
                <w:rFonts w:ascii="Calibri" w:eastAsia="Times New Roman" w:hAnsi="Calibri" w:cs="Calibri"/>
                <w:kern w:val="0"/>
                <w:lang w:eastAsia="en-GB"/>
                <w14:ligatures w14:val="none"/>
              </w:rPr>
              <w:t xml:space="preserve">The </w:t>
            </w:r>
            <w:r w:rsidR="005A4251">
              <w:rPr>
                <w:rFonts w:ascii="Calibri" w:eastAsia="Times New Roman" w:hAnsi="Calibri" w:cs="Calibri"/>
                <w:kern w:val="0"/>
                <w:lang w:eastAsia="en-GB"/>
                <w14:ligatures w14:val="none"/>
              </w:rPr>
              <w:t>Decree</w:t>
            </w:r>
            <w:r w:rsidR="005A4251" w:rsidRPr="005A4251">
              <w:rPr>
                <w:rFonts w:ascii="Calibri" w:eastAsia="Times New Roman" w:hAnsi="Calibri" w:cs="Calibri"/>
                <w:kern w:val="0"/>
                <w:lang w:eastAsia="en-GB"/>
                <w14:ligatures w14:val="none"/>
              </w:rPr>
              <w:t xml:space="preserve"> requires third-party certification of carbon credits. Specifically:</w:t>
            </w:r>
          </w:p>
          <w:p w14:paraId="351D2294" w14:textId="0F0B13DF" w:rsidR="005A4251" w:rsidRDefault="005A4251" w:rsidP="005A4251">
            <w:pPr>
              <w:pStyle w:val="Prrafodelista"/>
              <w:numPr>
                <w:ilvl w:val="0"/>
                <w:numId w:val="51"/>
              </w:numPr>
              <w:jc w:val="both"/>
              <w:textAlignment w:val="baseline"/>
              <w:rPr>
                <w:rFonts w:ascii="Calibri" w:eastAsia="Times New Roman" w:hAnsi="Calibri" w:cs="Calibri"/>
                <w:kern w:val="0"/>
                <w:lang w:eastAsia="en-GB"/>
                <w14:ligatures w14:val="none"/>
              </w:rPr>
            </w:pPr>
            <w:r w:rsidRPr="005A4251">
              <w:rPr>
                <w:rFonts w:ascii="Calibri" w:eastAsia="Times New Roman" w:hAnsi="Calibri" w:cs="Calibri"/>
                <w:kern w:val="0"/>
                <w:lang w:eastAsia="en-GB"/>
                <w14:ligatures w14:val="none"/>
              </w:rPr>
              <w:t>Article 27 mandates that each project must undergo validation by an accredited operational entity before registration.</w:t>
            </w:r>
          </w:p>
          <w:p w14:paraId="5D20C533" w14:textId="684B8AEA" w:rsidR="005A4251" w:rsidRPr="005A4251" w:rsidRDefault="005A4251" w:rsidP="005A4251">
            <w:pPr>
              <w:pStyle w:val="Prrafodelista"/>
              <w:numPr>
                <w:ilvl w:val="0"/>
                <w:numId w:val="51"/>
              </w:numPr>
              <w:jc w:val="both"/>
              <w:textAlignment w:val="baseline"/>
              <w:rPr>
                <w:rFonts w:ascii="Calibri" w:eastAsia="Times New Roman" w:hAnsi="Calibri" w:cs="Calibri"/>
                <w:kern w:val="0"/>
                <w:lang w:eastAsia="en-GB"/>
                <w14:ligatures w14:val="none"/>
              </w:rPr>
            </w:pPr>
            <w:r w:rsidRPr="005A4251">
              <w:rPr>
                <w:rFonts w:ascii="Calibri" w:eastAsia="Times New Roman" w:hAnsi="Calibri" w:cs="Calibri"/>
                <w:kern w:val="0"/>
                <w:lang w:eastAsia="en-GB"/>
                <w14:ligatures w14:val="none"/>
              </w:rPr>
              <w:t>Articles 29–30 further require periodic verification of emission reductions by these third-party entities to confirm compliance with approved methodologies.</w:t>
            </w:r>
          </w:p>
          <w:p w14:paraId="05FDFDA2" w14:textId="1115DEA5" w:rsidR="00047A9C" w:rsidRPr="00CF2E7C" w:rsidRDefault="005A4251" w:rsidP="005A4251">
            <w:pPr>
              <w:jc w:val="both"/>
              <w:textAlignment w:val="baseline"/>
              <w:rPr>
                <w:rFonts w:ascii="Calibri" w:eastAsia="Times New Roman" w:hAnsi="Calibri" w:cs="Calibri"/>
                <w:kern w:val="0"/>
                <w:lang w:eastAsia="en-GB"/>
                <w14:ligatures w14:val="none"/>
              </w:rPr>
            </w:pPr>
            <w:r w:rsidRPr="005A4251">
              <w:rPr>
                <w:rFonts w:ascii="Calibri" w:eastAsia="Times New Roman" w:hAnsi="Calibri" w:cs="Calibri"/>
                <w:kern w:val="0"/>
                <w:lang w:eastAsia="en-GB"/>
                <w14:ligatures w14:val="none"/>
              </w:rPr>
              <w:t>These certifiers must be independent and authorized, ensuring objectivity and technical qualifications.</w:t>
            </w:r>
            <w:r>
              <w:rPr>
                <w:rFonts w:ascii="Calibri" w:eastAsia="Times New Roman" w:hAnsi="Calibri" w:cs="Calibri"/>
                <w:kern w:val="0"/>
                <w:lang w:eastAsia="en-GB"/>
                <w14:ligatures w14:val="none"/>
              </w:rPr>
              <w:t xml:space="preserve"> </w:t>
            </w:r>
            <w:r w:rsidRPr="005A4251">
              <w:rPr>
                <w:rFonts w:ascii="Calibri" w:eastAsia="Times New Roman" w:hAnsi="Calibri" w:cs="Calibri"/>
                <w:kern w:val="0"/>
                <w:lang w:eastAsia="en-GB"/>
                <w14:ligatures w14:val="none"/>
              </w:rPr>
              <w:t>While the decree doesn’t go into detail on managing conflicts of interest, the structure implies a firewall through accreditation and centralized control.</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440F92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BA2CB1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2F55481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5BB1FA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26BB05B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6FD71D9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1140B195" w:rsidR="00047A9C" w:rsidRPr="00CF2E7C" w:rsidRDefault="00047A9C" w:rsidP="005A425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A4251" w:rsidRPr="005A4251">
              <w:rPr>
                <w:rFonts w:ascii="Calibri" w:eastAsia="Times New Roman" w:hAnsi="Calibri" w:cs="Calibri"/>
                <w:kern w:val="0"/>
                <w:lang w:eastAsia="en-GB"/>
                <w14:ligatures w14:val="none"/>
              </w:rPr>
              <w:t>The Article 11(c) of Decree states that emission reductions must be “real, measurable, and additional.” Article 12 requires project methodologies to justify additionality, but no specific tests or analytical tools are mandated.</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615AAF5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6F06B3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6F2B416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6978756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0B4DB65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3F59108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56DB0A1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2C1EFD6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3BEC4B9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31C73E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A4251">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A94CEA7" w14:textId="1B4069CD" w:rsidR="005A4251" w:rsidRPr="005A4251" w:rsidRDefault="00047A9C" w:rsidP="005A4251">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A4251" w:rsidRPr="005A4251">
              <w:rPr>
                <w:rFonts w:ascii="Calibri" w:eastAsia="Times New Roman" w:hAnsi="Calibri" w:cs="Calibri"/>
                <w:kern w:val="0"/>
                <w:lang w:eastAsia="en-GB"/>
                <w14:ligatures w14:val="none"/>
              </w:rPr>
              <w:t>The Decree mentions the principle of permanence as a requirement for all emission reduction projects, stating in Article 11(d) that reductions must be “permanent.” However, the policy tool does not outline any remedial measures in the event of credit reversal.</w:t>
            </w:r>
          </w:p>
          <w:p w14:paraId="773FCD5C" w14:textId="09C8922C" w:rsidR="00047A9C" w:rsidRPr="00CF2E7C" w:rsidRDefault="005A4251" w:rsidP="005A4251">
            <w:pPr>
              <w:jc w:val="both"/>
              <w:textAlignment w:val="baseline"/>
              <w:rPr>
                <w:rFonts w:ascii="Calibri" w:eastAsia="Times New Roman" w:hAnsi="Calibri" w:cs="Calibri"/>
                <w:kern w:val="0"/>
                <w:lang w:eastAsia="en-GB"/>
                <w14:ligatures w14:val="none"/>
              </w:rPr>
            </w:pPr>
            <w:r w:rsidRPr="005A4251">
              <w:rPr>
                <w:rFonts w:ascii="Calibri" w:eastAsia="Times New Roman" w:hAnsi="Calibri" w:cs="Calibri"/>
                <w:kern w:val="0"/>
                <w:lang w:eastAsia="en-GB"/>
                <w14:ligatures w14:val="none"/>
              </w:rPr>
              <w:t>There is no mention of buffer pools, insurance schemes, reversal monitoring, or restrictions by project type. Therefore, reversal risk is acknowledged, but without further guidance or operational provisions to address it.</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-generating projects? (e.g. Guidance on conservativeness of the baseline, reference to specific standards or </w:t>
            </w:r>
            <w:r w:rsidRPr="00CF2E7C">
              <w:rPr>
                <w:rFonts w:ascii="Calibri" w:eastAsia="Times New Roman" w:hAnsi="Calibri" w:cs="Calibri"/>
                <w:kern w:val="0"/>
                <w:lang w:eastAsia="en-GB"/>
                <w14:ligatures w14:val="none"/>
              </w:rPr>
              <w:lastRenderedPageBreak/>
              <w:t>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588A7AC" w:rsidR="00DD694D" w:rsidRPr="00CF2E7C" w:rsidRDefault="006C43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260729E4" w:rsidR="00DD694D" w:rsidRPr="00CF2E7C" w:rsidRDefault="006C437E" w:rsidP="006C437E">
            <w:pPr>
              <w:jc w:val="both"/>
              <w:textAlignment w:val="baseline"/>
              <w:rPr>
                <w:rFonts w:ascii="Calibri" w:eastAsia="Times New Roman" w:hAnsi="Calibri" w:cs="Calibri"/>
                <w:kern w:val="0"/>
                <w:lang w:eastAsia="en-GB"/>
                <w14:ligatures w14:val="none"/>
              </w:rPr>
            </w:pPr>
            <w:r w:rsidRPr="006C437E">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Decree</w:t>
            </w:r>
            <w:r w:rsidRPr="006C437E">
              <w:rPr>
                <w:rFonts w:ascii="Calibri" w:eastAsia="Times New Roman" w:hAnsi="Calibri" w:cs="Calibri"/>
                <w:kern w:val="0"/>
                <w:lang w:eastAsia="en-GB"/>
                <w14:ligatures w14:val="none"/>
              </w:rPr>
              <w:t xml:space="preserve"> sets general rules for quantification of emission reductions and removals but does not prescribe a single methodology. It delegates technical specificity to approved project methodologies.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01809DD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437E">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3E33507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437E">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51A3A50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437E">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0DFEC5C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437E">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4B2460D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437E">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4DA4F6F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437E">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01A33AEC" w:rsidR="00DD694D" w:rsidRPr="00CF2E7C" w:rsidRDefault="006C437E" w:rsidP="006C437E">
            <w:pPr>
              <w:jc w:val="both"/>
              <w:textAlignment w:val="baseline"/>
              <w:rPr>
                <w:rFonts w:ascii="Calibri" w:eastAsia="Times New Roman" w:hAnsi="Calibri" w:cs="Calibri"/>
                <w:kern w:val="0"/>
                <w:lang w:eastAsia="en-GB"/>
                <w14:ligatures w14:val="none"/>
              </w:rPr>
            </w:pPr>
            <w:r w:rsidRPr="006C437E">
              <w:rPr>
                <w:rFonts w:ascii="Calibri" w:eastAsia="Times New Roman" w:hAnsi="Calibri" w:cs="Calibri"/>
                <w:kern w:val="0"/>
                <w:lang w:eastAsia="en-GB"/>
                <w14:ligatures w14:val="none"/>
              </w:rPr>
              <w:t>The policy tool includes a general safeguard related to social integrity but does not define specific procedures or standards.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6" w:name="_Section_2:_Carbon"/>
      <w:bookmarkStart w:id="37" w:name="_Toc198223628"/>
      <w:bookmarkEnd w:id="36"/>
      <w:r>
        <w:lastRenderedPageBreak/>
        <w:t xml:space="preserve">Section </w:t>
      </w:r>
      <w:r w:rsidR="00B20D58">
        <w:t>4</w:t>
      </w:r>
      <w:r w:rsidR="00D2196F">
        <w:t>.4.2</w:t>
      </w:r>
      <w:r>
        <w:t xml:space="preserve">: </w:t>
      </w:r>
      <w:r w:rsidRPr="009C4D10">
        <w:t>Carbon Credit Usage in Compliance Market and Voluntary Carbon Market</w:t>
      </w:r>
      <w:bookmarkEnd w:id="37"/>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1B34346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C437E">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70B5E805" w:rsidR="002119B6" w:rsidRPr="00CF2E7C" w:rsidRDefault="006C43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5DC37185" w:rsidR="00FE7FA5" w:rsidRPr="00CF2E7C" w:rsidRDefault="006C43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4D2F20D" w14:textId="77777777" w:rsidR="00182A2B" w:rsidRDefault="00182A2B" w:rsidP="00182A2B">
            <w:pPr>
              <w:jc w:val="both"/>
              <w:textAlignment w:val="baseline"/>
              <w:rPr>
                <w:rFonts w:ascii="Calibri" w:eastAsia="Times New Roman" w:hAnsi="Calibri" w:cs="Calibri"/>
                <w:kern w:val="0"/>
                <w:lang w:eastAsia="en-GB"/>
                <w14:ligatures w14:val="none"/>
              </w:rPr>
            </w:pPr>
            <w:r w:rsidRPr="00182A2B">
              <w:rPr>
                <w:rFonts w:ascii="Calibri" w:eastAsia="Times New Roman" w:hAnsi="Calibri" w:cs="Calibri"/>
                <w:kern w:val="0"/>
                <w:lang w:eastAsia="en-GB"/>
                <w14:ligatures w14:val="none"/>
              </w:rPr>
              <w:t>The Decree provides eligibility guidance for credits generated under the Domestic Carbon Market (MDC), which are intended for voluntary use. Key eligibility criteria include:</w:t>
            </w:r>
          </w:p>
          <w:p w14:paraId="55448634" w14:textId="77777777" w:rsidR="00182A2B" w:rsidRDefault="00182A2B" w:rsidP="00182A2B">
            <w:pPr>
              <w:pStyle w:val="Prrafodelista"/>
              <w:numPr>
                <w:ilvl w:val="0"/>
                <w:numId w:val="52"/>
              </w:numPr>
              <w:jc w:val="both"/>
              <w:textAlignment w:val="baseline"/>
              <w:rPr>
                <w:rFonts w:ascii="Calibri" w:eastAsia="Times New Roman" w:hAnsi="Calibri" w:cs="Calibri"/>
                <w:kern w:val="0"/>
                <w:lang w:eastAsia="en-GB"/>
                <w14:ligatures w14:val="none"/>
              </w:rPr>
            </w:pPr>
            <w:r w:rsidRPr="00182A2B">
              <w:rPr>
                <w:rFonts w:ascii="Calibri" w:eastAsia="Times New Roman" w:hAnsi="Calibri" w:cs="Calibri"/>
                <w:kern w:val="0"/>
                <w:lang w:eastAsia="en-GB"/>
                <w14:ligatures w14:val="none"/>
              </w:rPr>
              <w:t>Credits must be generated by projects located in Costa Rica (Art. 10).</w:t>
            </w:r>
          </w:p>
          <w:p w14:paraId="78DD74B4" w14:textId="77777777" w:rsidR="00182A2B" w:rsidRDefault="00182A2B" w:rsidP="00182A2B">
            <w:pPr>
              <w:pStyle w:val="Prrafodelista"/>
              <w:numPr>
                <w:ilvl w:val="0"/>
                <w:numId w:val="52"/>
              </w:numPr>
              <w:jc w:val="both"/>
              <w:textAlignment w:val="baseline"/>
              <w:rPr>
                <w:rFonts w:ascii="Calibri" w:eastAsia="Times New Roman" w:hAnsi="Calibri" w:cs="Calibri"/>
                <w:kern w:val="0"/>
                <w:lang w:eastAsia="en-GB"/>
                <w14:ligatures w14:val="none"/>
              </w:rPr>
            </w:pPr>
            <w:r w:rsidRPr="00182A2B">
              <w:rPr>
                <w:rFonts w:ascii="Calibri" w:eastAsia="Times New Roman" w:hAnsi="Calibri" w:cs="Calibri"/>
                <w:kern w:val="0"/>
                <w:lang w:eastAsia="en-GB"/>
                <w14:ligatures w14:val="none"/>
              </w:rPr>
              <w:t>Projects must follow approved methodologies reviewed by the Carbon Board (Art. 12).</w:t>
            </w:r>
          </w:p>
          <w:p w14:paraId="24999265" w14:textId="77777777" w:rsidR="00182A2B" w:rsidRDefault="00182A2B" w:rsidP="00182A2B">
            <w:pPr>
              <w:pStyle w:val="Prrafodelista"/>
              <w:numPr>
                <w:ilvl w:val="0"/>
                <w:numId w:val="52"/>
              </w:numPr>
              <w:jc w:val="both"/>
              <w:textAlignment w:val="baseline"/>
              <w:rPr>
                <w:rFonts w:ascii="Calibri" w:eastAsia="Times New Roman" w:hAnsi="Calibri" w:cs="Calibri"/>
                <w:kern w:val="0"/>
                <w:lang w:eastAsia="en-GB"/>
                <w14:ligatures w14:val="none"/>
              </w:rPr>
            </w:pPr>
            <w:r w:rsidRPr="00182A2B">
              <w:rPr>
                <w:rFonts w:ascii="Calibri" w:eastAsia="Times New Roman" w:hAnsi="Calibri" w:cs="Calibri"/>
                <w:kern w:val="0"/>
                <w:lang w:eastAsia="en-GB"/>
                <w14:ligatures w14:val="none"/>
              </w:rPr>
              <w:t>Emission reductions must be real, measurable, permanent, verifiable, and additional (Art. 11)</w:t>
            </w:r>
            <w:r>
              <w:rPr>
                <w:rFonts w:ascii="Calibri" w:eastAsia="Times New Roman" w:hAnsi="Calibri" w:cs="Calibri"/>
                <w:kern w:val="0"/>
                <w:lang w:eastAsia="en-GB"/>
                <w14:ligatures w14:val="none"/>
              </w:rPr>
              <w:t>.</w:t>
            </w:r>
          </w:p>
          <w:p w14:paraId="68DA79BD" w14:textId="11C74472" w:rsidR="00FE7FA5" w:rsidRPr="00182A2B" w:rsidRDefault="00182A2B" w:rsidP="00182A2B">
            <w:pPr>
              <w:pStyle w:val="Prrafodelista"/>
              <w:numPr>
                <w:ilvl w:val="0"/>
                <w:numId w:val="52"/>
              </w:numPr>
              <w:jc w:val="both"/>
              <w:textAlignment w:val="baseline"/>
              <w:rPr>
                <w:rFonts w:ascii="Calibri" w:eastAsia="Times New Roman" w:hAnsi="Calibri" w:cs="Calibri"/>
                <w:kern w:val="0"/>
                <w:lang w:eastAsia="en-GB"/>
                <w14:ligatures w14:val="none"/>
              </w:rPr>
            </w:pPr>
            <w:r w:rsidRPr="00182A2B">
              <w:rPr>
                <w:rFonts w:ascii="Calibri" w:eastAsia="Times New Roman" w:hAnsi="Calibri" w:cs="Calibri"/>
                <w:kern w:val="0"/>
                <w:lang w:eastAsia="en-GB"/>
                <w14:ligatures w14:val="none"/>
              </w:rPr>
              <w:t>Projects must not generate negative environmental or social impacts (Art. 11(e)).</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3201D1A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0AD431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0981D2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5484855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AFD296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5D29845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1CC611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588588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0AB990E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82A2B">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502CC8" w14:textId="071BE75C" w:rsidR="00B14483" w:rsidRPr="00B14483" w:rsidRDefault="00FE7FA5" w:rsidP="00B14483">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14483" w:rsidRPr="00B14483">
              <w:rPr>
                <w:rFonts w:ascii="Calibri" w:eastAsia="Times New Roman" w:hAnsi="Calibri" w:cs="Calibri"/>
                <w:kern w:val="0"/>
                <w:lang w:eastAsia="en-GB"/>
                <w14:ligatures w14:val="none"/>
              </w:rPr>
              <w:t xml:space="preserve">The Decree does not explicitly </w:t>
            </w:r>
            <w:proofErr w:type="gramStart"/>
            <w:r w:rsidR="00B14483" w:rsidRPr="00B14483">
              <w:rPr>
                <w:rFonts w:ascii="Calibri" w:eastAsia="Times New Roman" w:hAnsi="Calibri" w:cs="Calibri"/>
                <w:kern w:val="0"/>
                <w:lang w:eastAsia="en-GB"/>
                <w14:ligatures w14:val="none"/>
              </w:rPr>
              <w:t>incorporate</w:t>
            </w:r>
            <w:proofErr w:type="gramEnd"/>
            <w:r w:rsidR="00B14483" w:rsidRPr="00B14483">
              <w:rPr>
                <w:rFonts w:ascii="Calibri" w:eastAsia="Times New Roman" w:hAnsi="Calibri" w:cs="Calibri"/>
                <w:kern w:val="0"/>
                <w:lang w:eastAsia="en-GB"/>
                <w14:ligatures w14:val="none"/>
              </w:rPr>
              <w:t xml:space="preserve"> or reference international standards, frameworks, or guidelines related to carbon markets, emissions accounting, or climate integrity.</w:t>
            </w:r>
          </w:p>
          <w:p w14:paraId="5635CD78" w14:textId="7476C9B5" w:rsidR="00FE7FA5" w:rsidRPr="00CF2E7C" w:rsidRDefault="00B14483" w:rsidP="00B14483">
            <w:pPr>
              <w:jc w:val="both"/>
              <w:textAlignment w:val="baseline"/>
              <w:rPr>
                <w:rFonts w:ascii="Calibri" w:eastAsia="Times New Roman" w:hAnsi="Calibri" w:cs="Calibri"/>
                <w:kern w:val="0"/>
                <w:lang w:eastAsia="en-GB"/>
                <w14:ligatures w14:val="none"/>
              </w:rPr>
            </w:pPr>
            <w:r w:rsidRPr="00B14483">
              <w:rPr>
                <w:rFonts w:ascii="Calibri" w:eastAsia="Times New Roman" w:hAnsi="Calibri" w:cs="Calibri"/>
                <w:kern w:val="0"/>
                <w:lang w:eastAsia="en-GB"/>
                <w14:ligatures w14:val="none"/>
              </w:rPr>
              <w:t>However, it refers generically to “approved methodologies” for emissions reduction projects (Article 12), which could include standards or protocols adopted</w:t>
            </w:r>
            <w:r>
              <w:rPr>
                <w:rFonts w:ascii="Calibri" w:eastAsia="Times New Roman" w:hAnsi="Calibri" w:cs="Calibri"/>
                <w:kern w:val="0"/>
                <w:lang w:eastAsia="en-GB"/>
                <w14:ligatures w14:val="none"/>
              </w:rPr>
              <w:t xml:space="preserve"> </w:t>
            </w:r>
            <w:r w:rsidRPr="00B14483">
              <w:rPr>
                <w:rFonts w:ascii="Calibri" w:eastAsia="Times New Roman" w:hAnsi="Calibri" w:cs="Calibri"/>
                <w:kern w:val="0"/>
                <w:lang w:eastAsia="en-GB"/>
                <w14:ligatures w14:val="none"/>
              </w:rPr>
              <w:t>but none are specified within the legal text.</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3F71BD0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4483">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096DD73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4483">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55E718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4483">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1D9A27F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4483">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3DFC0AF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4483">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093D969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4483">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8" w:name="_Section_3:_Operationalizing"/>
      <w:bookmarkStart w:id="39" w:name="_Toc198223629"/>
      <w:bookmarkEnd w:id="38"/>
      <w:r>
        <w:t xml:space="preserve">Section </w:t>
      </w:r>
      <w:r w:rsidR="00B20D58">
        <w:t>4</w:t>
      </w:r>
      <w:r w:rsidR="004A54B3">
        <w:t>.4.3</w:t>
      </w:r>
      <w:r>
        <w:t xml:space="preserve">: </w:t>
      </w:r>
      <w:r w:rsidRPr="009C4D10">
        <w:t>Operationalizing Paris Agreement Article 6 provisions as they apply to carbon credits</w:t>
      </w:r>
      <w:bookmarkEnd w:id="39"/>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40" w:name="_Section_4:_Exchange"/>
      <w:bookmarkStart w:id="41" w:name="_Toc198223630"/>
      <w:bookmarkEnd w:id="40"/>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1"/>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42" w:name="_Toc198223631"/>
      <w:r w:rsidRPr="009C4D10">
        <w:lastRenderedPageBreak/>
        <w:t>Domain 5: Prudential Tools</w:t>
      </w:r>
      <w:bookmarkEnd w:id="42"/>
    </w:p>
    <w:p w14:paraId="3E16913F" w14:textId="21F34EF6" w:rsidR="00AF3FC6" w:rsidRPr="00AF3FC6" w:rsidRDefault="00455E1B" w:rsidP="00AF3FC6">
      <w:pPr>
        <w:pStyle w:val="Ttulo2"/>
      </w:pPr>
      <w:bookmarkStart w:id="43" w:name="_Toc198223632"/>
      <w:r>
        <w:t xml:space="preserve">Section 5.1: </w:t>
      </w:r>
      <w:r w:rsidR="00AF3FC6" w:rsidRPr="009C4D10">
        <w:t>Who is being targeted?</w:t>
      </w:r>
      <w:bookmarkEnd w:id="43"/>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0B334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4" w:name="_Toc198223633"/>
      <w:r>
        <w:rPr>
          <w:lang w:val="en-SG"/>
        </w:rPr>
        <w:lastRenderedPageBreak/>
        <w:t xml:space="preserve">Section 5.2: </w:t>
      </w:r>
      <w:r w:rsidR="00FE66B1" w:rsidRPr="009C4D10">
        <w:rPr>
          <w:lang w:val="en-SG"/>
        </w:rPr>
        <w:t>Policy goal or function of the policy tool</w:t>
      </w:r>
      <w:bookmarkEnd w:id="44"/>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5" w:name="_Section_5.1:_Risk"/>
      <w:bookmarkStart w:id="46" w:name="_Toc198223634"/>
      <w:bookmarkEnd w:id="45"/>
      <w:r>
        <w:t>Section 5.</w:t>
      </w:r>
      <w:r w:rsidR="00455E1B">
        <w:t>2.</w:t>
      </w:r>
      <w:r>
        <w:t xml:space="preserve">1: </w:t>
      </w:r>
      <w:r w:rsidR="00B24E10" w:rsidRPr="009C4D10">
        <w:t>Risk management and governance</w:t>
      </w:r>
      <w:bookmarkEnd w:id="46"/>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7" w:name="_5.3.1_Risk_management"/>
            <w:bookmarkEnd w:id="47"/>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8" w:name="_Section_5.2:_Scenario"/>
      <w:bookmarkStart w:id="49" w:name="_Toc198223635"/>
      <w:bookmarkEnd w:id="48"/>
      <w:r>
        <w:t>Section 5.2</w:t>
      </w:r>
      <w:r w:rsidR="00455E1B">
        <w:t>.2</w:t>
      </w:r>
      <w:r>
        <w:t xml:space="preserve">: </w:t>
      </w:r>
      <w:r w:rsidRPr="009C4D10">
        <w:t>Scenario analysis and stress-testing</w:t>
      </w:r>
      <w:bookmarkEnd w:id="49"/>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50" w:name="_5.3.2_Scenario_analysis"/>
            <w:bookmarkEnd w:id="50"/>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51" w:name="_Section_5.3:_Capital"/>
      <w:bookmarkStart w:id="52" w:name="_Toc198223636"/>
      <w:bookmarkEnd w:id="51"/>
      <w:r>
        <w:t>Section 5.</w:t>
      </w:r>
      <w:r w:rsidR="00455E1B">
        <w:t>2.</w:t>
      </w:r>
      <w:r>
        <w:t xml:space="preserve">3: </w:t>
      </w:r>
      <w:r w:rsidRPr="009C4D10">
        <w:t>Capital and Liquidity Requirements</w:t>
      </w:r>
      <w:bookmarkEnd w:id="52"/>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3" w:name="_5.3.3_Capital_and"/>
            <w:bookmarkEnd w:id="53"/>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4" w:name="_Toc198223637"/>
      <w:r>
        <w:t xml:space="preserve">Section 5.3: </w:t>
      </w:r>
      <w:r w:rsidR="009E1E61">
        <w:t>Standards and Frameworks</w:t>
      </w:r>
      <w:bookmarkEnd w:id="54"/>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5" w:name="_Toc198223638"/>
      <w:r>
        <w:lastRenderedPageBreak/>
        <w:t>Domain 6: Methane Abatement</w:t>
      </w:r>
      <w:bookmarkEnd w:id="55"/>
    </w:p>
    <w:p w14:paraId="144EDD37" w14:textId="77777777" w:rsidR="002F0752" w:rsidRDefault="002F0752" w:rsidP="002F0752">
      <w:pPr>
        <w:pStyle w:val="Ttulo2"/>
        <w:rPr>
          <w:rFonts w:ascii="Calibri" w:eastAsia="Calibri" w:hAnsi="Calibri" w:cs="Calibri"/>
          <w:color w:val="000000" w:themeColor="text1"/>
        </w:rPr>
      </w:pPr>
      <w:bookmarkStart w:id="56" w:name="_Toc198223639"/>
      <w:r>
        <w:t>Section 6.1: Who is being targeted?</w:t>
      </w:r>
      <w:bookmarkEnd w:id="56"/>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0B334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8" w:name="_Toc198223641"/>
      <w:r>
        <w:rPr>
          <w:rFonts w:eastAsia="Arial"/>
        </w:rPr>
        <w:lastRenderedPageBreak/>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bookmarkEnd w:id="7"/>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F534D5" w14:textId="77777777" w:rsidR="00133987" w:rsidRDefault="00133987" w:rsidP="00874E39">
      <w:r>
        <w:separator/>
      </w:r>
    </w:p>
  </w:endnote>
  <w:endnote w:type="continuationSeparator" w:id="0">
    <w:p w14:paraId="6408B9FF" w14:textId="77777777" w:rsidR="00133987" w:rsidRDefault="00133987" w:rsidP="00874E39">
      <w:r>
        <w:continuationSeparator/>
      </w:r>
    </w:p>
  </w:endnote>
  <w:endnote w:type="continuationNotice" w:id="1">
    <w:p w14:paraId="1537B6F3" w14:textId="77777777" w:rsidR="00133987" w:rsidRDefault="001339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F17A25" w14:textId="77777777" w:rsidR="00133987" w:rsidRDefault="00133987" w:rsidP="00874E39">
      <w:r>
        <w:separator/>
      </w:r>
    </w:p>
  </w:footnote>
  <w:footnote w:type="continuationSeparator" w:id="0">
    <w:p w14:paraId="6269D99D" w14:textId="77777777" w:rsidR="00133987" w:rsidRDefault="00133987" w:rsidP="00874E39">
      <w:r>
        <w:continuationSeparator/>
      </w:r>
    </w:p>
  </w:footnote>
  <w:footnote w:type="continuationNotice" w:id="1">
    <w:p w14:paraId="340BC977" w14:textId="77777777" w:rsidR="00133987" w:rsidRDefault="001339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7F51999"/>
    <w:multiLevelType w:val="hybridMultilevel"/>
    <w:tmpl w:val="1DE656B2"/>
    <w:lvl w:ilvl="0" w:tplc="218AEFCC">
      <w:start w:val="16"/>
      <w:numFmt w:val="bullet"/>
      <w:lvlText w:val="-"/>
      <w:lvlJc w:val="left"/>
      <w:pPr>
        <w:ind w:left="720" w:hanging="360"/>
      </w:pPr>
      <w:rPr>
        <w:rFonts w:ascii="Calibri" w:eastAsiaTheme="minorHAnsi" w:hAnsi="Calibri" w:cs="Calibri"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8A92003"/>
    <w:multiLevelType w:val="hybridMultilevel"/>
    <w:tmpl w:val="B2E0C5C2"/>
    <w:lvl w:ilvl="0" w:tplc="50648F26">
      <w:start w:val="2013"/>
      <w:numFmt w:val="bullet"/>
      <w:lvlText w:val="-"/>
      <w:lvlJc w:val="left"/>
      <w:pPr>
        <w:ind w:left="720" w:hanging="360"/>
      </w:pPr>
      <w:rPr>
        <w:rFonts w:ascii="Calibri" w:eastAsiaTheme="minorHAnsi" w:hAnsi="Calibri" w:cs="Calibri"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77C1374"/>
    <w:multiLevelType w:val="hybridMultilevel"/>
    <w:tmpl w:val="3AC63B8C"/>
    <w:lvl w:ilvl="0" w:tplc="50648F26">
      <w:start w:val="2013"/>
      <w:numFmt w:val="bullet"/>
      <w:lvlText w:val="-"/>
      <w:lvlJc w:val="left"/>
      <w:pPr>
        <w:ind w:left="720" w:hanging="360"/>
      </w:pPr>
      <w:rPr>
        <w:rFonts w:ascii="Calibri" w:eastAsiaTheme="minorHAnsi" w:hAnsi="Calibri" w:cs="Calibri"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0E3A52"/>
    <w:multiLevelType w:val="hybridMultilevel"/>
    <w:tmpl w:val="F3A0ED98"/>
    <w:lvl w:ilvl="0" w:tplc="035E9BC2">
      <w:numFmt w:val="bullet"/>
      <w:lvlText w:val="-"/>
      <w:lvlJc w:val="left"/>
      <w:pPr>
        <w:ind w:left="720" w:hanging="360"/>
      </w:pPr>
      <w:rPr>
        <w:rFonts w:ascii="Calibri" w:eastAsiaTheme="minorHAnsi" w:hAnsi="Calibri" w:cs="Calibri"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4"/>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5"/>
  </w:num>
  <w:num w:numId="20" w16cid:durableId="1328172586">
    <w:abstractNumId w:val="17"/>
  </w:num>
  <w:num w:numId="21" w16cid:durableId="184827816">
    <w:abstractNumId w:val="30"/>
  </w:num>
  <w:num w:numId="22" w16cid:durableId="1785346599">
    <w:abstractNumId w:val="36"/>
  </w:num>
  <w:num w:numId="23" w16cid:durableId="1294288901">
    <w:abstractNumId w:val="28"/>
  </w:num>
  <w:num w:numId="24" w16cid:durableId="1603957975">
    <w:abstractNumId w:val="47"/>
  </w:num>
  <w:num w:numId="25" w16cid:durableId="1659531047">
    <w:abstractNumId w:val="46"/>
  </w:num>
  <w:num w:numId="26" w16cid:durableId="752774403">
    <w:abstractNumId w:val="24"/>
  </w:num>
  <w:num w:numId="27" w16cid:durableId="347872198">
    <w:abstractNumId w:val="6"/>
  </w:num>
  <w:num w:numId="28" w16cid:durableId="537133110">
    <w:abstractNumId w:val="12"/>
  </w:num>
  <w:num w:numId="29" w16cid:durableId="1632318729">
    <w:abstractNumId w:val="49"/>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0"/>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5"/>
  </w:num>
  <w:num w:numId="45" w16cid:durableId="1554191892">
    <w:abstractNumId w:val="43"/>
  </w:num>
  <w:num w:numId="46" w16cid:durableId="947811845">
    <w:abstractNumId w:val="50"/>
  </w:num>
  <w:num w:numId="47" w16cid:durableId="342588554">
    <w:abstractNumId w:val="27"/>
  </w:num>
  <w:num w:numId="48" w16cid:durableId="318391343">
    <w:abstractNumId w:val="39"/>
  </w:num>
  <w:num w:numId="49" w16cid:durableId="314533287">
    <w:abstractNumId w:val="48"/>
  </w:num>
  <w:num w:numId="50" w16cid:durableId="1580872690">
    <w:abstractNumId w:val="13"/>
  </w:num>
  <w:num w:numId="51" w16cid:durableId="401762171">
    <w:abstractNumId w:val="29"/>
  </w:num>
  <w:num w:numId="52" w16cid:durableId="531041257">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4B3"/>
    <w:rsid w:val="000C1982"/>
    <w:rsid w:val="000C2857"/>
    <w:rsid w:val="000C52F1"/>
    <w:rsid w:val="000D0592"/>
    <w:rsid w:val="000D10B3"/>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3987"/>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2A2B"/>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0E3"/>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C15"/>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BF2"/>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251"/>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1E2F"/>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342"/>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37E"/>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1F2E"/>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62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B6F"/>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6A7F"/>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6F6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22A"/>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AC0"/>
    <w:rsid w:val="009D7337"/>
    <w:rsid w:val="009D7CB0"/>
    <w:rsid w:val="009E133B"/>
    <w:rsid w:val="009E1E61"/>
    <w:rsid w:val="009E21B4"/>
    <w:rsid w:val="009E3D96"/>
    <w:rsid w:val="009E40D3"/>
    <w:rsid w:val="009E4263"/>
    <w:rsid w:val="009E5864"/>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203"/>
    <w:rsid w:val="00A064CE"/>
    <w:rsid w:val="00A0773E"/>
    <w:rsid w:val="00A07FB5"/>
    <w:rsid w:val="00A123CE"/>
    <w:rsid w:val="00A1384B"/>
    <w:rsid w:val="00A14A3D"/>
    <w:rsid w:val="00A14AF3"/>
    <w:rsid w:val="00A14B52"/>
    <w:rsid w:val="00A15E13"/>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4A7"/>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66D"/>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48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B55"/>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511"/>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30C"/>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5EC"/>
    <w:rsid w:val="00D07A89"/>
    <w:rsid w:val="00D07B55"/>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431"/>
    <w:rsid w:val="00E6223B"/>
    <w:rsid w:val="00E631C3"/>
    <w:rsid w:val="00E631DE"/>
    <w:rsid w:val="00E636E4"/>
    <w:rsid w:val="00E63AC5"/>
    <w:rsid w:val="00E64AEA"/>
    <w:rsid w:val="00E64C95"/>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0BD4"/>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047"/>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225143/https://www.pgrweb.go.cr/scij/Busqueda/Normativa/Normas/nrm_texto_completo.aspx?param1=NRTC&amp;nValor1=1&amp;nValor2=75986&amp;nValor3=94708&amp;strTipM=TC%2A"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336</TotalTime>
  <Pages>112</Pages>
  <Words>23202</Words>
  <Characters>127612</Characters>
  <Application>Microsoft Office Word</Application>
  <DocSecurity>0</DocSecurity>
  <Lines>1063</Lines>
  <Paragraphs>301</Paragraphs>
  <ScaleCrop>false</ScaleCrop>
  <Company/>
  <LinksUpToDate>false</LinksUpToDate>
  <CharactersWithSpaces>150513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Hernández</cp:lastModifiedBy>
  <cp:revision>7</cp:revision>
  <cp:lastPrinted>2025-03-21T00:14:00Z</cp:lastPrinted>
  <dcterms:created xsi:type="dcterms:W3CDTF">2025-06-19T09:44:00Z</dcterms:created>
  <dcterms:modified xsi:type="dcterms:W3CDTF">2025-07-14T22:16:00Z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